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YEAR 1 LEARNING AT HOME GRID</w:t>
      </w:r>
      <w:r w:rsidDel="00000000" w:rsidR="00000000" w:rsidRPr="00000000">
        <w:rPr>
          <w:rFonts w:ascii="Quicksand" w:cs="Quicksand" w:eastAsia="Quicksand" w:hAnsi="Quicksand"/>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7343775</wp:posOffset>
            </wp:positionH>
            <wp:positionV relativeFrom="paragraph">
              <wp:posOffset>-285749</wp:posOffset>
            </wp:positionV>
            <wp:extent cx="1485900" cy="882253"/>
            <wp:effectExtent b="0" l="0" r="0" t="0"/>
            <wp:wrapSquare wrapText="bothSides" distB="0" distT="0" distL="0" distR="0"/>
            <wp:docPr descr="http://clutterfreekids.com/library/kids-clipart.gif" id="2" name="image2.gif"/>
            <a:graphic>
              <a:graphicData uri="http://schemas.openxmlformats.org/drawingml/2006/picture">
                <pic:pic>
                  <pic:nvPicPr>
                    <pic:cNvPr descr="http://clutterfreekids.com/library/kids-clipart.gif" id="0" name="image2.gif"/>
                    <pic:cNvPicPr preferRelativeResize="0"/>
                  </pic:nvPicPr>
                  <pic:blipFill>
                    <a:blip r:embed="rId6"/>
                    <a:srcRect b="0" l="0" r="0" t="0"/>
                    <a:stretch>
                      <a:fillRect/>
                    </a:stretch>
                  </pic:blipFill>
                  <pic:spPr>
                    <a:xfrm>
                      <a:off x="0" y="0"/>
                      <a:ext cx="1485900" cy="882253"/>
                    </a:xfrm>
                    <a:prstGeom prst="rect"/>
                    <a:ln/>
                  </pic:spPr>
                </pic:pic>
              </a:graphicData>
            </a:graphic>
          </wp:anchor>
        </w:drawing>
      </w:r>
    </w:p>
    <w:p w:rsidR="00000000" w:rsidDel="00000000" w:rsidP="00000000" w:rsidRDefault="00000000" w:rsidRPr="00000000" w14:paraId="00000002">
      <w:pPr>
        <w:jc w:val="both"/>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Tasks to be completed over the FORTNIGHT: Tuesday 10th March - Friday 20th March</w:t>
      </w:r>
      <w:r w:rsidDel="00000000" w:rsidR="00000000" w:rsidRPr="00000000">
        <w:rPr>
          <w:rtl w:val="0"/>
        </w:rPr>
      </w:r>
    </w:p>
    <w:tbl>
      <w:tblPr>
        <w:tblStyle w:val="Table1"/>
        <w:tblW w:w="15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05"/>
        <w:gridCol w:w="7635"/>
        <w:tblGridChange w:id="0">
          <w:tblGrid>
            <w:gridCol w:w="7605"/>
            <w:gridCol w:w="7635"/>
          </w:tblGrid>
        </w:tblGridChange>
      </w:tblGrid>
      <w:tr>
        <w:trPr>
          <w:trHeight w:val="3820"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Reading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The home reader sheet is to be signed every night and sent back the next day to borrow a new reader. We ask that your child reads for 10 minutes at home - this can be achieved by your child reading independently, reading the book together or having a family member read the book </w:t>
            </w:r>
            <w:r w:rsidDel="00000000" w:rsidR="00000000" w:rsidRPr="00000000">
              <w:rPr>
                <w:rFonts w:ascii="Quicksand" w:cs="Quicksand" w:eastAsia="Quicksand" w:hAnsi="Quicksand"/>
                <w:b w:val="1"/>
                <w:sz w:val="20"/>
                <w:szCs w:val="20"/>
                <w:u w:val="single"/>
                <w:rtl w:val="0"/>
              </w:rPr>
              <w:t xml:space="preserve">to</w:t>
            </w:r>
            <w:r w:rsidDel="00000000" w:rsidR="00000000" w:rsidRPr="00000000">
              <w:rPr>
                <w:rFonts w:ascii="Quicksand" w:cs="Quicksand" w:eastAsia="Quicksand" w:hAnsi="Quicksand"/>
                <w:b w:val="1"/>
                <w:sz w:val="20"/>
                <w:szCs w:val="20"/>
                <w:rtl w:val="0"/>
              </w:rPr>
              <w:t xml:space="preserve"> your child. It is perfectly fine to borrow the same book for a number of days if your child is not ready to move onto another text.</w:t>
              <w:br w:type="textWrapping"/>
              <w:br w:type="textWrapping"/>
              <w:t xml:space="preserve">After you finish reading, discuss what part of the story you enjoyed, explain why you liked this part. Discuss where your favourite part of the story happened; at the  beginning, in the middle or at the end of the story. </w:t>
            </w:r>
          </w:p>
          <w:p w:rsidR="00000000" w:rsidDel="00000000" w:rsidP="00000000" w:rsidRDefault="00000000" w:rsidRPr="00000000" w14:paraId="00000006">
            <w:pPr>
              <w:rPr>
                <w:rFonts w:ascii="Ruluko" w:cs="Ruluko" w:eastAsia="Ruluko" w:hAnsi="Ruluko"/>
                <w:color w:val="6d9eeb"/>
                <w:sz w:val="18"/>
                <w:szCs w:val="18"/>
              </w:rPr>
            </w:pPr>
            <w:r w:rsidDel="00000000" w:rsidR="00000000" w:rsidRPr="00000000">
              <w:rPr>
                <w:rFonts w:ascii="Quicksand" w:cs="Quicksand" w:eastAsia="Quicksand" w:hAnsi="Quicksand"/>
                <w:b w:val="1"/>
                <w:sz w:val="20"/>
                <w:szCs w:val="20"/>
                <w:rtl w:val="0"/>
              </w:rPr>
              <w:t xml:space="preserve">Draw this in your book.</w:t>
            </w:r>
            <w:r w:rsidDel="00000000" w:rsidR="00000000" w:rsidRPr="00000000">
              <w:rPr>
                <w:rtl w:val="0"/>
              </w:rPr>
            </w:r>
          </w:p>
          <w:p w:rsidR="00000000" w:rsidDel="00000000" w:rsidP="00000000" w:rsidRDefault="00000000" w:rsidRPr="00000000" w14:paraId="00000007">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8">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Parent signature:</w:t>
            </w:r>
          </w:p>
          <w:p w:rsidR="00000000" w:rsidDel="00000000" w:rsidP="00000000" w:rsidRDefault="00000000" w:rsidRPr="00000000" w14:paraId="00000009">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0A">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Date:  </w:t>
            </w:r>
          </w:p>
        </w:tc>
        <w:tc>
          <w:tcPr/>
          <w:p w:rsidR="00000000" w:rsidDel="00000000" w:rsidP="00000000" w:rsidRDefault="00000000" w:rsidRPr="00000000" w14:paraId="0000000B">
            <w:pPr>
              <w:jc w:val="cente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Maths </w:t>
            </w:r>
          </w:p>
          <w:p w:rsidR="00000000" w:rsidDel="00000000" w:rsidP="00000000" w:rsidRDefault="00000000" w:rsidRPr="00000000" w14:paraId="0000000C">
            <w:pPr>
              <w:jc w:val="center"/>
              <w:rPr>
                <w:rFonts w:ascii="Quicksand" w:cs="Quicksand" w:eastAsia="Quicksand" w:hAnsi="Quicksand"/>
                <w:b w:val="1"/>
                <w:sz w:val="20"/>
                <w:szCs w:val="20"/>
                <w:u w:val="single"/>
              </w:rPr>
            </w:pPr>
            <w:r w:rsidDel="00000000" w:rsidR="00000000" w:rsidRPr="00000000">
              <w:rPr>
                <w:rtl w:val="0"/>
              </w:rPr>
            </w:r>
          </w:p>
          <w:p w:rsidR="00000000" w:rsidDel="00000000" w:rsidP="00000000" w:rsidRDefault="00000000" w:rsidRPr="00000000" w14:paraId="0000000D">
            <w:pPr>
              <w:widowControl w:val="1"/>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Over the next couple of weeks in Maths, we will be learning about time. With your family, think about the days of the week and talk about what you do each day during the week.                                                                                                                                                                             Make a table in your book showing what your family does on those days. You can draw or write your activities.</w:t>
            </w:r>
          </w:p>
          <w:p w:rsidR="00000000" w:rsidDel="00000000" w:rsidP="00000000" w:rsidRDefault="00000000" w:rsidRPr="00000000" w14:paraId="0000000E">
            <w:pPr>
              <w:widowControl w:val="1"/>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For example:</w:t>
            </w:r>
          </w:p>
          <w:p w:rsidR="00000000" w:rsidDel="00000000" w:rsidP="00000000" w:rsidRDefault="00000000" w:rsidRPr="00000000" w14:paraId="0000000F">
            <w:pPr>
              <w:widowControl w:val="1"/>
              <w:rPr>
                <w:rFonts w:ascii="Quicksand" w:cs="Quicksand" w:eastAsia="Quicksand" w:hAnsi="Quicksand"/>
                <w:b w:val="1"/>
                <w:sz w:val="20"/>
                <w:szCs w:val="20"/>
              </w:rPr>
            </w:pPr>
            <w:r w:rsidDel="00000000" w:rsidR="00000000" w:rsidRPr="00000000">
              <w:rPr>
                <w:rtl w:val="0"/>
              </w:rPr>
            </w:r>
          </w:p>
          <w:tbl>
            <w:tblPr>
              <w:tblStyle w:val="Table2"/>
              <w:tblW w:w="7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142857142857"/>
              <w:gridCol w:w="1062.142857142857"/>
              <w:gridCol w:w="1062.142857142857"/>
              <w:gridCol w:w="1062.142857142857"/>
              <w:gridCol w:w="1062.142857142857"/>
              <w:gridCol w:w="1062.142857142857"/>
              <w:gridCol w:w="1062.142857142857"/>
              <w:tblGridChange w:id="0">
                <w:tblGrid>
                  <w:gridCol w:w="1062.142857142857"/>
                  <w:gridCol w:w="1062.142857142857"/>
                  <w:gridCol w:w="1062.142857142857"/>
                  <w:gridCol w:w="1062.142857142857"/>
                  <w:gridCol w:w="1062.142857142857"/>
                  <w:gridCol w:w="1062.142857142857"/>
                  <w:gridCol w:w="1062.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rFonts w:ascii="Quicksand" w:cs="Quicksand" w:eastAsia="Quicksand" w:hAnsi="Quicksand"/>
                      <w:b w:val="1"/>
                      <w:sz w:val="14"/>
                      <w:szCs w:val="14"/>
                    </w:rPr>
                  </w:pPr>
                  <w:r w:rsidDel="00000000" w:rsidR="00000000" w:rsidRPr="00000000">
                    <w:rPr>
                      <w:rFonts w:ascii="Quicksand" w:cs="Quicksand" w:eastAsia="Quicksand" w:hAnsi="Quicksand"/>
                      <w:b w:val="1"/>
                      <w:sz w:val="14"/>
                      <w:szCs w:val="14"/>
                      <w:rtl w:val="0"/>
                    </w:rPr>
                    <w:t xml:space="preserve">Sunday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rFonts w:ascii="Quicksand" w:cs="Quicksand" w:eastAsia="Quicksand" w:hAnsi="Quicksand"/>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rFonts w:ascii="Quicksand" w:cs="Quicksand" w:eastAsia="Quicksand" w:hAnsi="Quicksand"/>
                      <w:b w:val="1"/>
                      <w:sz w:val="20"/>
                      <w:szCs w:val="20"/>
                    </w:rPr>
                  </w:pPr>
                  <w:r w:rsidDel="00000000" w:rsidR="00000000" w:rsidRPr="00000000">
                    <w:rPr>
                      <w:rtl w:val="0"/>
                    </w:rPr>
                  </w:r>
                </w:p>
              </w:tc>
            </w:tr>
          </w:tbl>
          <w:p w:rsidR="00000000" w:rsidDel="00000000" w:rsidP="00000000" w:rsidRDefault="00000000" w:rsidRPr="00000000" w14:paraId="0000001E">
            <w:pPr>
              <w:widowControl w:val="1"/>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1F">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Parent signature:</w:t>
            </w:r>
          </w:p>
          <w:p w:rsidR="00000000" w:rsidDel="00000000" w:rsidP="00000000" w:rsidRDefault="00000000" w:rsidRPr="00000000" w14:paraId="00000020">
            <w:pP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21">
            <w:pPr>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Date:</w:t>
            </w:r>
            <w:r w:rsidDel="00000000" w:rsidR="00000000" w:rsidRPr="00000000">
              <w:rPr>
                <w:rFonts w:ascii="Quicksand" w:cs="Quicksand" w:eastAsia="Quicksand" w:hAnsi="Quicksand"/>
                <w:sz w:val="20"/>
                <w:szCs w:val="20"/>
                <w:rtl w:val="0"/>
              </w:rPr>
              <w:t xml:space="preserve">  </w:t>
            </w:r>
          </w:p>
        </w:tc>
      </w:tr>
      <w:tr>
        <w:tc>
          <w:tcPr/>
          <w:p w:rsidR="00000000" w:rsidDel="00000000" w:rsidP="00000000" w:rsidRDefault="00000000" w:rsidRPr="00000000" w14:paraId="00000022">
            <w:pPr>
              <w:jc w:val="center"/>
              <w:rPr>
                <w:rFonts w:ascii="Quicksand" w:cs="Quicksand" w:eastAsia="Quicksand" w:hAnsi="Quicksand"/>
                <w:sz w:val="20"/>
                <w:szCs w:val="20"/>
                <w:u w:val="single"/>
              </w:rPr>
            </w:pPr>
            <w:r w:rsidDel="00000000" w:rsidR="00000000" w:rsidRPr="00000000">
              <w:rPr>
                <w:rFonts w:ascii="Quicksand" w:cs="Quicksand" w:eastAsia="Quicksand" w:hAnsi="Quicksand"/>
                <w:sz w:val="20"/>
                <w:szCs w:val="20"/>
                <w:u w:val="single"/>
                <w:rtl w:val="0"/>
              </w:rPr>
              <w:t xml:space="preserve">Religion</w:t>
            </w:r>
          </w:p>
          <w:p w:rsidR="00000000" w:rsidDel="00000000" w:rsidP="00000000" w:rsidRDefault="00000000" w:rsidRPr="00000000" w14:paraId="00000023">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br w:type="textWrapping"/>
              <w:t xml:space="preserve">In Religion we are learning about our Catholic Identity. As a family, write a prayer to show how God is present in your home. What is your family grateful to God for? How does your family thank God?</w:t>
            </w:r>
          </w:p>
          <w:p w:rsidR="00000000" w:rsidDel="00000000" w:rsidP="00000000" w:rsidRDefault="00000000" w:rsidRPr="00000000" w14:paraId="00000024">
            <w:pPr>
              <w:rPr>
                <w:rFonts w:ascii="Quicksand" w:cs="Quicksand" w:eastAsia="Quicksand" w:hAnsi="Quicksand"/>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118590</wp:posOffset>
                  </wp:positionV>
                  <wp:extent cx="1033463" cy="121491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33463" cy="1214910"/>
                          </a:xfrm>
                          <a:prstGeom prst="rect"/>
                          <a:ln/>
                        </pic:spPr>
                      </pic:pic>
                    </a:graphicData>
                  </a:graphic>
                </wp:anchor>
              </w:drawing>
            </w:r>
          </w:p>
          <w:p w:rsidR="00000000" w:rsidDel="00000000" w:rsidP="00000000" w:rsidRDefault="00000000" w:rsidRPr="00000000" w14:paraId="00000025">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6">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7">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8">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9">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A">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 signature:</w:t>
            </w:r>
          </w:p>
          <w:p w:rsidR="00000000" w:rsidDel="00000000" w:rsidP="00000000" w:rsidRDefault="00000000" w:rsidRPr="00000000" w14:paraId="0000002B">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C">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Date:  </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Quicksand" w:cs="Quicksand" w:eastAsia="Quicksand" w:hAnsi="Quicksand"/>
                <w:sz w:val="20"/>
                <w:szCs w:val="20"/>
                <w:u w:val="single"/>
              </w:rPr>
            </w:pPr>
            <w:r w:rsidDel="00000000" w:rsidR="00000000" w:rsidRPr="00000000">
              <w:rPr>
                <w:rFonts w:ascii="Quicksand" w:cs="Quicksand" w:eastAsia="Quicksand" w:hAnsi="Quicksand"/>
                <w:sz w:val="20"/>
                <w:szCs w:val="20"/>
                <w:u w:val="single"/>
                <w:rtl w:val="0"/>
              </w:rPr>
              <w:t xml:space="preserve">Inquiry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Inquiry, we are learning about ourselves - in particular our physical, social and emotional wellbeing. Explore the following websites that focus on children’s meditation and yoga to assist with emotional wellbeing.</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Meditation: </w:t>
            </w:r>
            <w:hyperlink r:id="rId8">
              <w:r w:rsidDel="00000000" w:rsidR="00000000" w:rsidRPr="00000000">
                <w:rPr>
                  <w:rFonts w:ascii="Quicksand" w:cs="Quicksand" w:eastAsia="Quicksand" w:hAnsi="Quicksand"/>
                  <w:color w:val="1155cc"/>
                  <w:sz w:val="20"/>
                  <w:szCs w:val="20"/>
                  <w:u w:val="single"/>
                  <w:rtl w:val="0"/>
                </w:rPr>
                <w:t xml:space="preserve">https://www.cosmickids.com/new-series-peace-guided-relaxations-kids/</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Yoga: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left"/>
              <w:rPr>
                <w:rFonts w:ascii="Quicksand" w:cs="Quicksand" w:eastAsia="Quicksand" w:hAnsi="Quicksand"/>
                <w:sz w:val="20"/>
                <w:szCs w:val="20"/>
              </w:rPr>
            </w:pPr>
            <w:hyperlink r:id="rId9">
              <w:r w:rsidDel="00000000" w:rsidR="00000000" w:rsidRPr="00000000">
                <w:rPr>
                  <w:rFonts w:ascii="Quicksand" w:cs="Quicksand" w:eastAsia="Quicksand" w:hAnsi="Quicksand"/>
                  <w:color w:val="1155cc"/>
                  <w:sz w:val="20"/>
                  <w:szCs w:val="20"/>
                  <w:u w:val="single"/>
                  <w:rtl w:val="0"/>
                </w:rPr>
                <w:t xml:space="preserve">https://www.cosmickids.com/category/watch/</w:t>
              </w:r>
            </w:hyperlink>
            <w:r w:rsidDel="00000000" w:rsidR="00000000" w:rsidRPr="00000000">
              <w:rPr>
                <w:rtl w:val="0"/>
              </w:rPr>
            </w:r>
          </w:p>
          <w:p w:rsidR="00000000" w:rsidDel="00000000" w:rsidP="00000000" w:rsidRDefault="00000000" w:rsidRPr="00000000" w14:paraId="00000035">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6">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Parent signature:</w:t>
            </w:r>
          </w:p>
          <w:p w:rsidR="00000000" w:rsidDel="00000000" w:rsidP="00000000" w:rsidRDefault="00000000" w:rsidRPr="00000000" w14:paraId="00000037">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8">
            <w:pPr>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Date:  </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Quicksand" w:cs="Quicksand" w:eastAsia="Quicksand" w:hAnsi="Quicksand"/>
          <w:b w:val="1"/>
          <w:sz w:val="20"/>
          <w:szCs w:val="20"/>
          <w:u w:val="single"/>
        </w:rPr>
      </w:pPr>
      <w:r w:rsidDel="00000000" w:rsidR="00000000" w:rsidRPr="00000000">
        <w:rPr>
          <w:rFonts w:ascii="Quicksand" w:cs="Quicksand" w:eastAsia="Quicksand" w:hAnsi="Quicksand"/>
          <w:b w:val="1"/>
          <w:sz w:val="20"/>
          <w:szCs w:val="20"/>
          <w:u w:val="single"/>
          <w:rtl w:val="0"/>
        </w:rPr>
        <w:t xml:space="preserve">The tasks in bold print are the ESSENTIALS for the fortnight. CHOICES are strongly encouraged and all tasks should be signed off by a parent. </w:t>
      </w:r>
    </w:p>
    <w:p w:rsidR="00000000" w:rsidDel="00000000" w:rsidP="00000000" w:rsidRDefault="00000000" w:rsidRPr="00000000" w14:paraId="0000003A">
      <w:pPr>
        <w:rPr>
          <w:rFonts w:ascii="Quicksand" w:cs="Quicksand" w:eastAsia="Quicksand" w:hAnsi="Quicksand"/>
          <w:b w:val="1"/>
          <w:sz w:val="20"/>
          <w:szCs w:val="20"/>
          <w:highlight w:val="yellow"/>
        </w:rPr>
      </w:pPr>
      <w:r w:rsidDel="00000000" w:rsidR="00000000" w:rsidRPr="00000000">
        <w:rPr>
          <w:rFonts w:ascii="Quicksand" w:cs="Quicksand" w:eastAsia="Quicksand" w:hAnsi="Quicksand"/>
          <w:b w:val="1"/>
          <w:sz w:val="20"/>
          <w:szCs w:val="20"/>
          <w:highlight w:val="yellow"/>
          <w:rtl w:val="0"/>
        </w:rPr>
        <w:t xml:space="preserve">Please send a box (or two!) of tissues to school with your child for our class to share.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Quicksand" w:cs="Quicksand" w:eastAsia="Quicksand" w:hAnsi="Quicksand"/>
          <w:color w:val="ff0000"/>
          <w:sz w:val="24"/>
          <w:szCs w:val="24"/>
        </w:rPr>
      </w:pPr>
      <w:r w:rsidDel="00000000" w:rsidR="00000000" w:rsidRPr="00000000">
        <w:rPr>
          <w:rFonts w:ascii="Quicksand" w:cs="Quicksand" w:eastAsia="Quicksand" w:hAnsi="Quicksand"/>
          <w:color w:val="ff0000"/>
          <w:sz w:val="24"/>
          <w:szCs w:val="24"/>
          <w:rtl w:val="0"/>
        </w:rPr>
        <w:t xml:space="preserve">In Literacy, we are learning about Recounts. In Maths, we will be learning about time. In Inquiry, we are learning about our wellbeing and how to keep ourselves healthy. In Religion, we are learning about our Catholic Identity.</w:t>
      </w:r>
    </w:p>
    <w:sectPr>
      <w:pgSz w:h="11906" w:w="16838"/>
      <w:pgMar w:bottom="426"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uluko">
    <w:embedRegular w:fontKey="{00000000-0000-0000-0000-000000000000}" r:id="rId1" w:subsetted="0"/>
  </w:font>
  <w:font w:name="Quicksan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smickids.com/category/watch/" TargetMode="Externa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jpg"/><Relationship Id="rId8" Type="http://schemas.openxmlformats.org/officeDocument/2006/relationships/hyperlink" Target="https://www.cosmickids.com/new-series-peace-guided-relaxations-ki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Quicksand-regular.ttf"/><Relationship Id="rId3"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